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95A" w:rsidRPr="0057295A" w:rsidRDefault="0057295A" w:rsidP="0057295A">
      <w:pPr>
        <w:shd w:val="clear" w:color="auto" w:fill="FFFFFF"/>
        <w:spacing w:before="100" w:beforeAutospacing="1" w:after="75" w:line="600" w:lineRule="atLeast"/>
        <w:jc w:val="center"/>
        <w:outlineLvl w:val="0"/>
        <w:rPr>
          <w:rFonts w:ascii="Arial" w:eastAsia="Times New Roman" w:hAnsi="Arial" w:cs="Arial"/>
          <w:i/>
          <w:iCs/>
          <w:color w:val="007AC3"/>
          <w:spacing w:val="-5"/>
          <w:kern w:val="36"/>
          <w:sz w:val="24"/>
          <w:szCs w:val="24"/>
          <w:lang w:eastAsia="hu-HU"/>
        </w:rPr>
      </w:pPr>
      <w:r w:rsidRPr="0057295A">
        <w:rPr>
          <w:rFonts w:ascii="Arial" w:eastAsia="Times New Roman" w:hAnsi="Arial" w:cs="Arial"/>
          <w:b/>
          <w:bCs/>
          <w:i/>
          <w:iCs/>
          <w:color w:val="007AC3"/>
          <w:spacing w:val="-5"/>
          <w:kern w:val="36"/>
          <w:sz w:val="24"/>
          <w:szCs w:val="24"/>
          <w:lang w:eastAsia="hu-HU"/>
        </w:rPr>
        <w:t>151/2003. (IX. 22.) Korm. rendelet</w:t>
      </w:r>
      <w:r w:rsidRPr="0057295A">
        <w:rPr>
          <w:rFonts w:ascii="Arial" w:eastAsia="Times New Roman" w:hAnsi="Arial" w:cs="Arial"/>
          <w:b/>
          <w:bCs/>
          <w:i/>
          <w:iCs/>
          <w:color w:val="007AC3"/>
          <w:spacing w:val="-5"/>
          <w:kern w:val="36"/>
          <w:sz w:val="24"/>
          <w:szCs w:val="24"/>
          <w:lang w:eastAsia="hu-HU"/>
        </w:rPr>
        <w:br/>
        <w:t>az egyes tartós fogyasztási cikkekre</w:t>
      </w:r>
      <w:bookmarkStart w:id="0" w:name="_GoBack"/>
      <w:bookmarkEnd w:id="0"/>
      <w:r w:rsidRPr="0057295A">
        <w:rPr>
          <w:rFonts w:ascii="Arial" w:eastAsia="Times New Roman" w:hAnsi="Arial" w:cs="Arial"/>
          <w:b/>
          <w:bCs/>
          <w:i/>
          <w:iCs/>
          <w:color w:val="007AC3"/>
          <w:spacing w:val="-5"/>
          <w:kern w:val="36"/>
          <w:sz w:val="24"/>
          <w:szCs w:val="24"/>
          <w:lang w:eastAsia="hu-HU"/>
        </w:rPr>
        <w:t xml:space="preserve"> vonatkozó kötelező jótállásról</w:t>
      </w:r>
    </w:p>
    <w:p w:rsidR="0057295A" w:rsidRPr="0057295A" w:rsidRDefault="0057295A" w:rsidP="0057295A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A Magyar Köztársaság Polgári Törvénykönyvéről szóló 1959. évi IV. törvény (Ptk.) 248. §-</w:t>
      </w:r>
      <w:proofErr w:type="spellStart"/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ában</w:t>
      </w:r>
      <w:proofErr w:type="spellEnd"/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foglaltakra figyelemmel a Kormány a következő rendeletet alkotja: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b/>
          <w:bCs/>
          <w:color w:val="474747"/>
          <w:sz w:val="20"/>
          <w:szCs w:val="20"/>
          <w:lang w:eastAsia="hu-HU"/>
        </w:rPr>
        <w:t>1. §</w:t>
      </w:r>
      <w:hyperlink r:id="rId4" w:anchor="lbj0ida3e8" w:history="1">
        <w:r w:rsidRPr="0057295A">
          <w:rPr>
            <w:rFonts w:ascii="Arial" w:eastAsia="Times New Roman" w:hAnsi="Arial" w:cs="Arial"/>
            <w:b/>
            <w:bCs/>
            <w:color w:val="005B92"/>
            <w:sz w:val="20"/>
            <w:szCs w:val="20"/>
            <w:vertAlign w:val="superscript"/>
            <w:lang w:eastAsia="hu-HU"/>
          </w:rPr>
          <w:t> * </w:t>
        </w:r>
      </w:hyperlink>
      <w:r w:rsidRPr="0057295A">
        <w:rPr>
          <w:rFonts w:ascii="Arial" w:eastAsia="Times New Roman" w:hAnsi="Arial" w:cs="Arial"/>
          <w:b/>
          <w:bCs/>
          <w:color w:val="474747"/>
          <w:sz w:val="20"/>
          <w:szCs w:val="20"/>
          <w:lang w:eastAsia="hu-HU"/>
        </w:rPr>
        <w:t> </w:t>
      </w: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(1) A Polgári Törvénykönyv szerinti fogyasztó és vállalkozás közötti szerződés keretében eladott, az 1. mellékletben felsorolt új tartós fogyasztási cikkekre (a továbbiakban: fogyasztási cikk) e rendelet szabályai szerint jótállási kötelezettség terjed ki.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(2) A jótállási kötelezettség teljesítése azt a vállalkozást terheli, amelyet a fogyasztóval kötött szerződés a szerződés tárgyát képező szolgáltatás nyújtására kötelez. A jótállásból eredő jogokat a fogyasztási cikk tulajdonosa érvényesítheti, feltéve, hogy fogyasztónak minősül.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(3) Az e rendelet szerinti jótállás érvényességéhez, valamint a jótállásból eredő jogok érvényesítéséhez a vállalkozás az e rendeletben foglaltakon túl további követelményt nem támaszthat a fogyasztóval szemben, kivéve, ha a fogyasztási cikk megfelelő üzembe helyezése más módon nem biztosítható és a követelmény teljesítése nem jelent aránytalan terhet a fogyasztó számára.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(4) Ha a gyártó a fogyasztási cikkre az e rendeletben foglaltaknál kedvezőbb jótállási feltételeket vállal, a jótállás alapján a vállalkozást megillető jogok a fogyasztó és vállalkozás közötti szerződés teljesítésének időpontjában átszállnak a fogyasztóra.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(5) A fogyasztó és vállalkozás közötti szerződésben semmis az a kikötés, amely e rendelet rendelkezéseitől a fogyasztó hátrányára tér el. Az érvénytelen megállapodás helyébe e rendelet rendelkezései lépnek.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b/>
          <w:bCs/>
          <w:color w:val="474747"/>
          <w:sz w:val="20"/>
          <w:szCs w:val="20"/>
          <w:lang w:eastAsia="hu-HU"/>
        </w:rPr>
        <w:t>2. § </w:t>
      </w: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(1)</w:t>
      </w:r>
      <w:hyperlink r:id="rId5" w:anchor="lbj1ida3e8" w:history="1">
        <w:r w:rsidRPr="0057295A">
          <w:rPr>
            <w:rFonts w:ascii="Arial" w:eastAsia="Times New Roman" w:hAnsi="Arial" w:cs="Arial"/>
            <w:b/>
            <w:bCs/>
            <w:color w:val="005B92"/>
            <w:sz w:val="20"/>
            <w:szCs w:val="20"/>
            <w:vertAlign w:val="superscript"/>
            <w:lang w:eastAsia="hu-HU"/>
          </w:rPr>
          <w:t> * </w:t>
        </w:r>
      </w:hyperlink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 A jótállás időtartama egy év. E határidő elmulasztása jogvesztéssel jár.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(2)</w:t>
      </w:r>
      <w:hyperlink r:id="rId6" w:anchor="lbj2ida3e8" w:history="1">
        <w:r w:rsidRPr="0057295A">
          <w:rPr>
            <w:rFonts w:ascii="Arial" w:eastAsia="Times New Roman" w:hAnsi="Arial" w:cs="Arial"/>
            <w:b/>
            <w:bCs/>
            <w:color w:val="005B92"/>
            <w:sz w:val="20"/>
            <w:szCs w:val="20"/>
            <w:vertAlign w:val="superscript"/>
            <w:lang w:eastAsia="hu-HU"/>
          </w:rPr>
          <w:t> * </w:t>
        </w:r>
      </w:hyperlink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 A jótállási határidő a fogyasztási cikk fogyasztó részére történő átadása, vagy ha az üzembe helyezést a vállalkozás vagy annak megbízottja végzi, az üzembe helyezés napjával kezdődik.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b/>
          <w:bCs/>
          <w:color w:val="474747"/>
          <w:sz w:val="20"/>
          <w:szCs w:val="20"/>
          <w:lang w:eastAsia="hu-HU"/>
        </w:rPr>
        <w:t>3. § </w:t>
      </w: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(1)</w:t>
      </w:r>
      <w:hyperlink r:id="rId7" w:anchor="lbj3ida3e8" w:history="1">
        <w:r w:rsidRPr="0057295A">
          <w:rPr>
            <w:rFonts w:ascii="Arial" w:eastAsia="Times New Roman" w:hAnsi="Arial" w:cs="Arial"/>
            <w:b/>
            <w:bCs/>
            <w:color w:val="005B92"/>
            <w:sz w:val="20"/>
            <w:szCs w:val="20"/>
            <w:vertAlign w:val="superscript"/>
            <w:lang w:eastAsia="hu-HU"/>
          </w:rPr>
          <w:t> * </w:t>
        </w:r>
      </w:hyperlink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 A vállalkozás köteles a fogyasztási cikkel együtt a jótállási jegyet a fogyasztó rendelkezésére bocsátani olyan formában, amely a jótállási határidő végéig biztosítja a jótállási jegy tartalmának jól olvashatóságát.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(2) A jótállási jegyet közérthetően és egyértelműen, magyar nyelven kell megfogalmazni.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(3)</w:t>
      </w:r>
      <w:hyperlink r:id="rId8" w:anchor="lbj4ida3e8" w:history="1">
        <w:r w:rsidRPr="0057295A">
          <w:rPr>
            <w:rFonts w:ascii="Arial" w:eastAsia="Times New Roman" w:hAnsi="Arial" w:cs="Arial"/>
            <w:b/>
            <w:bCs/>
            <w:color w:val="005B92"/>
            <w:sz w:val="20"/>
            <w:szCs w:val="20"/>
            <w:vertAlign w:val="superscript"/>
            <w:lang w:eastAsia="hu-HU"/>
          </w:rPr>
          <w:t> * </w:t>
        </w:r>
      </w:hyperlink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 A jótállási jegyen fel kell tüntetni: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a) </w:t>
      </w: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a vállalkozás nevét, címét,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b) </w:t>
      </w: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a fogyasztási cikk azonosítására alkalmas megnevezését és típusát, valamint - ha van - gyártási számát,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c) </w:t>
      </w: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a gyártó nevét, címét, ha a gyártó nem azonos a vállalkozással,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lastRenderedPageBreak/>
        <w:t>d) </w:t>
      </w: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a szerződéskötés, valamint a fogyasztási cikk fogyasztó részére történő átadásának vagy - a vállalkozás vagy közreműködője általi üzembe helyezés esetén - a fogyasztási cikk üzembe helyezésének időpontját,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e) </w:t>
      </w: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a fogyasztó jótállásból eredő jogait, azok érvényesíthetőségének határidejét, helyét és feltételeit, továbbá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f) </w:t>
      </w: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az arról szóló tájékoztatást, hogy fogyasztói jogvita esetén a fogyasztó a megyei (fővárosi) kereskedelmi és iparkamarák mellett működő békéltető testület eljárását is kezdeményezheti.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(4)</w:t>
      </w:r>
      <w:hyperlink r:id="rId9" w:anchor="lbj5ida3e8" w:history="1">
        <w:r w:rsidRPr="0057295A">
          <w:rPr>
            <w:rFonts w:ascii="Arial" w:eastAsia="Times New Roman" w:hAnsi="Arial" w:cs="Arial"/>
            <w:b/>
            <w:bCs/>
            <w:color w:val="005B92"/>
            <w:sz w:val="20"/>
            <w:szCs w:val="20"/>
            <w:vertAlign w:val="superscript"/>
            <w:lang w:eastAsia="hu-HU"/>
          </w:rPr>
          <w:t> * </w:t>
        </w:r>
      </w:hyperlink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 A jótállási jegynek utalnia kell arra, hogy a jótállás a fogyasztó jogszabályból eredő jogait nem érinti.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b/>
          <w:bCs/>
          <w:color w:val="474747"/>
          <w:sz w:val="20"/>
          <w:szCs w:val="20"/>
          <w:lang w:eastAsia="hu-HU"/>
        </w:rPr>
        <w:t>4. §</w:t>
      </w:r>
      <w:hyperlink r:id="rId10" w:anchor="lbj6ida3e8" w:history="1">
        <w:r w:rsidRPr="0057295A">
          <w:rPr>
            <w:rFonts w:ascii="Arial" w:eastAsia="Times New Roman" w:hAnsi="Arial" w:cs="Arial"/>
            <w:b/>
            <w:bCs/>
            <w:color w:val="005B92"/>
            <w:sz w:val="20"/>
            <w:szCs w:val="20"/>
            <w:vertAlign w:val="superscript"/>
            <w:lang w:eastAsia="hu-HU"/>
          </w:rPr>
          <w:t> * </w:t>
        </w:r>
      </w:hyperlink>
      <w:r w:rsidRPr="0057295A">
        <w:rPr>
          <w:rFonts w:ascii="Arial" w:eastAsia="Times New Roman" w:hAnsi="Arial" w:cs="Arial"/>
          <w:b/>
          <w:bCs/>
          <w:color w:val="474747"/>
          <w:sz w:val="20"/>
          <w:szCs w:val="20"/>
          <w:lang w:eastAsia="hu-HU"/>
        </w:rPr>
        <w:t> </w:t>
      </w: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(1) A jótállásból eredő jogok - a (3) bekezdésben foglalt kivétellel - a jótállási jeggyel </w:t>
      </w:r>
      <w:proofErr w:type="spellStart"/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érvényesíthetőek</w:t>
      </w:r>
      <w:proofErr w:type="spellEnd"/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(2) A jótállási jegy szabálytalan kiállítása vagy a jótállási jegy fogyasztó rendelkezésére bocsátásának elmaradása a jótállás érvényességét nem érinti.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(3) A jótállási jegy fogyasztó rendelkezésére bocsátásának elmaradása esetén a szerződés megkötését bizonyítottnak kell tekinteni, ha az ellenérték megfizetését igazoló bizonylatot - az általános forgalmi adóról szóló törvény alapján kibocsátott számlát vagy nyugtát - a fogyasztó bemutatja. Ebben az esetben a jótállásból eredő jogok az ellenérték megfizetését igazoló bizonylattal </w:t>
      </w:r>
      <w:proofErr w:type="spellStart"/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érvényesíthetőek</w:t>
      </w:r>
      <w:proofErr w:type="spellEnd"/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b/>
          <w:bCs/>
          <w:color w:val="474747"/>
          <w:sz w:val="20"/>
          <w:szCs w:val="20"/>
          <w:lang w:eastAsia="hu-HU"/>
        </w:rPr>
        <w:t>5. § </w:t>
      </w: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(1)</w:t>
      </w:r>
      <w:hyperlink r:id="rId11" w:anchor="lbj7ida3e8" w:history="1">
        <w:r w:rsidRPr="0057295A">
          <w:rPr>
            <w:rFonts w:ascii="Arial" w:eastAsia="Times New Roman" w:hAnsi="Arial" w:cs="Arial"/>
            <w:b/>
            <w:bCs/>
            <w:color w:val="005B92"/>
            <w:sz w:val="20"/>
            <w:szCs w:val="20"/>
            <w:vertAlign w:val="superscript"/>
            <w:lang w:eastAsia="hu-HU"/>
          </w:rPr>
          <w:t> * </w:t>
        </w:r>
      </w:hyperlink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 A fogyasztó a kijavítás iránti igényét a vállalkozás által a jótállási jegyen feltüntetett javítószolgálatnál közvetlenül is érvényesítheti.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(2) A kijavítás során a fogyasztási cikkbe csak új alkatrész kerülhet beépítésre.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(3)</w:t>
      </w:r>
      <w:hyperlink r:id="rId12" w:anchor="lbj8ida3e8" w:history="1">
        <w:r w:rsidRPr="0057295A">
          <w:rPr>
            <w:rFonts w:ascii="Arial" w:eastAsia="Times New Roman" w:hAnsi="Arial" w:cs="Arial"/>
            <w:b/>
            <w:bCs/>
            <w:color w:val="005B92"/>
            <w:sz w:val="20"/>
            <w:szCs w:val="20"/>
            <w:vertAlign w:val="superscript"/>
            <w:lang w:eastAsia="hu-HU"/>
          </w:rPr>
          <w:t> * </w:t>
        </w:r>
      </w:hyperlink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 Kijavítás iránti igény teljesítésekor a vállalkozásnak vagy - a javítószolgálatnál közvetlenül érvényesített kijavítás iránti igény esetén - a javítószolgálatnak a jótállási jegyen vagy ahhoz csatoltan fel kell tüntetnie: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a) </w:t>
      </w: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a kijavítás iránti igény bejelentésének és a kijavításra történő átvételnek az időpontját, valamint gépjármű esetében a kilométeróra állását,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b) </w:t>
      </w: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a hiba okát és a kijavítás módját, továbbá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c) </w:t>
      </w: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a fogyasztási cikk fogyasztó részére történő visszaadásának időpontját, valamint gépjármű esetében a kilométeróra állását.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(4)</w:t>
      </w:r>
      <w:hyperlink r:id="rId13" w:anchor="lbj9ida3e8" w:history="1">
        <w:r w:rsidRPr="0057295A">
          <w:rPr>
            <w:rFonts w:ascii="Arial" w:eastAsia="Times New Roman" w:hAnsi="Arial" w:cs="Arial"/>
            <w:b/>
            <w:bCs/>
            <w:color w:val="005B92"/>
            <w:sz w:val="20"/>
            <w:szCs w:val="20"/>
            <w:vertAlign w:val="superscript"/>
            <w:lang w:eastAsia="hu-HU"/>
          </w:rPr>
          <w:t> * </w:t>
        </w:r>
      </w:hyperlink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 Kicserélés iránti igény teljesítésekor a vállalkozásnak a jótállási jegyen fel kell tüntetnie a kicserélés tényét és időpontját.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b/>
          <w:bCs/>
          <w:color w:val="474747"/>
          <w:sz w:val="20"/>
          <w:szCs w:val="20"/>
          <w:lang w:eastAsia="hu-HU"/>
        </w:rPr>
        <w:t>6. § </w:t>
      </w: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(1) A rögzített bekötésű, illetve a 10 kg-nál súlyosabb, vagy tömegközlekedési eszközön kézi csomagként nem szállítható fogyasztási cikket - a járművek kivételével - az üzemeltetés helyén kell megjavítani.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lastRenderedPageBreak/>
        <w:t>(2)</w:t>
      </w:r>
      <w:hyperlink r:id="rId14" w:anchor="lbj10ida3e8" w:history="1">
        <w:r w:rsidRPr="0057295A">
          <w:rPr>
            <w:rFonts w:ascii="Arial" w:eastAsia="Times New Roman" w:hAnsi="Arial" w:cs="Arial"/>
            <w:b/>
            <w:bCs/>
            <w:color w:val="005B92"/>
            <w:sz w:val="20"/>
            <w:szCs w:val="20"/>
            <w:vertAlign w:val="superscript"/>
            <w:lang w:eastAsia="hu-HU"/>
          </w:rPr>
          <w:t> * </w:t>
        </w:r>
      </w:hyperlink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 Ha a kijavítás az üzemeltetés helyén nem végezhető el, a le- és felszerelésről, valamint az el- és visszaszállításról a vállalkozás, vagy - a javítószolgálatnál közvetlenül érvényesített kijavítás iránti igény esetén - a javítószolgálat gondoskodik.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b/>
          <w:bCs/>
          <w:color w:val="474747"/>
          <w:sz w:val="20"/>
          <w:szCs w:val="20"/>
          <w:lang w:eastAsia="hu-HU"/>
        </w:rPr>
        <w:t>7. §</w:t>
      </w:r>
      <w:hyperlink r:id="rId15" w:anchor="lbj11ida3e8" w:history="1">
        <w:r w:rsidRPr="0057295A">
          <w:rPr>
            <w:rFonts w:ascii="Arial" w:eastAsia="Times New Roman" w:hAnsi="Arial" w:cs="Arial"/>
            <w:b/>
            <w:bCs/>
            <w:color w:val="005B92"/>
            <w:sz w:val="20"/>
            <w:szCs w:val="20"/>
            <w:vertAlign w:val="superscript"/>
            <w:lang w:eastAsia="hu-HU"/>
          </w:rPr>
          <w:t> * </w:t>
        </w:r>
      </w:hyperlink>
      <w:r w:rsidRPr="0057295A">
        <w:rPr>
          <w:rFonts w:ascii="Arial" w:eastAsia="Times New Roman" w:hAnsi="Arial" w:cs="Arial"/>
          <w:b/>
          <w:bCs/>
          <w:color w:val="474747"/>
          <w:sz w:val="20"/>
          <w:szCs w:val="20"/>
          <w:lang w:eastAsia="hu-HU"/>
        </w:rPr>
        <w:t> </w:t>
      </w: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Ha a fogyasztó a fogyasztási cikk meghibásodása miatt a vásárlástól (üzembe helyezéstől) számított három munkanapon belül érvényesít csereigényt, a vállalkozás nem hivatkozhat a Polgári Törvénykönyvről szóló 2013. évi V. törvény 6:159. § (2) bekezdés </w:t>
      </w:r>
      <w:r w:rsidRPr="0057295A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a) </w:t>
      </w: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pontja értelmében aránytalan többletköltségre, hanem köteles a fogyasztási cikket kicserélni, feltéve, hogy a meghibásodás a rendeltetésszerű használatot akadályozza.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b/>
          <w:bCs/>
          <w:color w:val="474747"/>
          <w:sz w:val="20"/>
          <w:szCs w:val="20"/>
          <w:lang w:eastAsia="hu-HU"/>
        </w:rPr>
        <w:t>7/A. §</w:t>
      </w:r>
      <w:hyperlink r:id="rId16" w:anchor="lbj12ida3e8" w:history="1">
        <w:r w:rsidRPr="0057295A">
          <w:rPr>
            <w:rFonts w:ascii="Arial" w:eastAsia="Times New Roman" w:hAnsi="Arial" w:cs="Arial"/>
            <w:b/>
            <w:bCs/>
            <w:color w:val="005B92"/>
            <w:sz w:val="20"/>
            <w:szCs w:val="20"/>
            <w:vertAlign w:val="superscript"/>
            <w:lang w:eastAsia="hu-HU"/>
          </w:rPr>
          <w:t> * </w:t>
        </w:r>
      </w:hyperlink>
      <w:r w:rsidRPr="0057295A">
        <w:rPr>
          <w:rFonts w:ascii="Arial" w:eastAsia="Times New Roman" w:hAnsi="Arial" w:cs="Arial"/>
          <w:b/>
          <w:bCs/>
          <w:color w:val="474747"/>
          <w:sz w:val="20"/>
          <w:szCs w:val="20"/>
          <w:lang w:eastAsia="hu-HU"/>
        </w:rPr>
        <w:t> </w:t>
      </w: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E rendelet alkalmazásában gyártó: a fogyasztási cikkek adásvételének és a kapcsolódó jótállásnak egyes vonatkozásairól szóló, 1999. május 25-i 1999/44/EK európai parlamenti és tanácsi irányelv 1. cikk (2) bekezdés </w:t>
      </w:r>
      <w:r w:rsidRPr="0057295A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d) </w:t>
      </w: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pontjában meghatározott gyártó.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b/>
          <w:bCs/>
          <w:color w:val="474747"/>
          <w:sz w:val="20"/>
          <w:szCs w:val="20"/>
          <w:lang w:eastAsia="hu-HU"/>
        </w:rPr>
        <w:t>7/B. §</w:t>
      </w:r>
      <w:hyperlink r:id="rId17" w:anchor="lbj13ida3e8" w:history="1">
        <w:r w:rsidRPr="0057295A">
          <w:rPr>
            <w:rFonts w:ascii="Arial" w:eastAsia="Times New Roman" w:hAnsi="Arial" w:cs="Arial"/>
            <w:b/>
            <w:bCs/>
            <w:color w:val="005B92"/>
            <w:sz w:val="20"/>
            <w:szCs w:val="20"/>
            <w:vertAlign w:val="superscript"/>
            <w:lang w:eastAsia="hu-HU"/>
          </w:rPr>
          <w:t> * </w:t>
        </w:r>
      </w:hyperlink>
      <w:r w:rsidRPr="0057295A">
        <w:rPr>
          <w:rFonts w:ascii="Arial" w:eastAsia="Times New Roman" w:hAnsi="Arial" w:cs="Arial"/>
          <w:b/>
          <w:bCs/>
          <w:color w:val="474747"/>
          <w:sz w:val="20"/>
          <w:szCs w:val="20"/>
          <w:lang w:eastAsia="hu-HU"/>
        </w:rPr>
        <w:t> </w:t>
      </w: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(1) A 3. §-ban, az 5. § (2)-(4) bekezdésében, valamint a 6. és 7. §-ban foglalt rendelkezések megsértése esetén a fogyasztóvédelmi hatóság jár el a fogyasztóvédelemről szóló törvényben meghatározott szabályok szerint.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(2) Az (1) bekezdésben megjelölt rendelkezések a fogyasztóvédelemről szóló törvény alkalmazásában fogyasztóvédelmi rendelkezések.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b/>
          <w:bCs/>
          <w:color w:val="474747"/>
          <w:sz w:val="20"/>
          <w:szCs w:val="20"/>
          <w:lang w:eastAsia="hu-HU"/>
        </w:rPr>
        <w:t>8. § </w:t>
      </w: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(1) Ez a rendelet a kihirdetését követő 60. napon lép hatályba; rendelkezéseit a hatálybalépését követően kötött fogyasztói szerződésekre kell alkalmazni.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(2)</w:t>
      </w:r>
      <w:hyperlink r:id="rId18" w:anchor="lbj14ida3e8" w:history="1">
        <w:r w:rsidRPr="0057295A">
          <w:rPr>
            <w:rFonts w:ascii="Arial" w:eastAsia="Times New Roman" w:hAnsi="Arial" w:cs="Arial"/>
            <w:b/>
            <w:bCs/>
            <w:color w:val="005B92"/>
            <w:sz w:val="20"/>
            <w:szCs w:val="20"/>
            <w:vertAlign w:val="superscript"/>
            <w:lang w:eastAsia="hu-HU"/>
          </w:rPr>
          <w:t> * </w:t>
        </w:r>
      </w:hyperlink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b/>
          <w:bCs/>
          <w:color w:val="474747"/>
          <w:sz w:val="20"/>
          <w:szCs w:val="20"/>
          <w:lang w:eastAsia="hu-HU"/>
        </w:rPr>
        <w:t>9. §</w:t>
      </w:r>
      <w:hyperlink r:id="rId19" w:anchor="lbj15ida3e8" w:history="1">
        <w:r w:rsidRPr="0057295A">
          <w:rPr>
            <w:rFonts w:ascii="Arial" w:eastAsia="Times New Roman" w:hAnsi="Arial" w:cs="Arial"/>
            <w:b/>
            <w:bCs/>
            <w:color w:val="005B92"/>
            <w:sz w:val="20"/>
            <w:szCs w:val="20"/>
            <w:vertAlign w:val="superscript"/>
            <w:lang w:eastAsia="hu-HU"/>
          </w:rPr>
          <w:t> * </w:t>
        </w:r>
      </w:hyperlink>
      <w:r w:rsidRPr="0057295A">
        <w:rPr>
          <w:rFonts w:ascii="Arial" w:eastAsia="Times New Roman" w:hAnsi="Arial" w:cs="Arial"/>
          <w:b/>
          <w:bCs/>
          <w:color w:val="474747"/>
          <w:sz w:val="20"/>
          <w:szCs w:val="20"/>
          <w:lang w:eastAsia="hu-HU"/>
        </w:rPr>
        <w:t> </w:t>
      </w: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E rendelet 7/A. §-a </w:t>
      </w:r>
      <w:proofErr w:type="spellStart"/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a</w:t>
      </w:r>
      <w:proofErr w:type="spellEnd"/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fogyasztási cikkek adásvételének és a kapcsolódó jótállásnak egyes vonatkozásairól szóló, 1999. május 25-i 1999/44/EK európai parlamenti és tanácsi irányelv 1. cikk (2) bekezdés </w:t>
      </w:r>
      <w:r w:rsidRPr="0057295A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d) </w:t>
      </w: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pontjának való megfelelést szolgálja.</w:t>
      </w:r>
    </w:p>
    <w:p w:rsidR="0057295A" w:rsidRPr="0057295A" w:rsidRDefault="0057295A" w:rsidP="0057295A">
      <w:pPr>
        <w:shd w:val="clear" w:color="auto" w:fill="FFFFFF"/>
        <w:spacing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u w:val="single"/>
          <w:lang w:eastAsia="hu-HU"/>
        </w:rPr>
        <w:t>Melléklet a 151/2003. (IX. 22.) Korm. rendelethez</w:t>
      </w:r>
      <w:hyperlink r:id="rId20" w:anchor="lbj16ida3e8" w:history="1">
        <w:r w:rsidRPr="0057295A">
          <w:rPr>
            <w:rFonts w:ascii="Arial" w:eastAsia="Times New Roman" w:hAnsi="Arial" w:cs="Arial"/>
            <w:b/>
            <w:bCs/>
            <w:i/>
            <w:iCs/>
            <w:color w:val="005B92"/>
            <w:sz w:val="20"/>
            <w:szCs w:val="20"/>
            <w:vertAlign w:val="superscript"/>
            <w:lang w:eastAsia="hu-HU"/>
          </w:rPr>
          <w:t> * </w:t>
        </w:r>
      </w:hyperlink>
    </w:p>
    <w:p w:rsidR="0057295A" w:rsidRPr="0057295A" w:rsidRDefault="0057295A" w:rsidP="0057295A">
      <w:pPr>
        <w:shd w:val="clear" w:color="auto" w:fill="FFFFFF"/>
        <w:spacing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1. Háztartási készülékek 10 000 Ft eladási ár felett, így különösen hűtőszekrény, fagyasztó, kombinált hűtőszekrény, villanytűzhely, mosógép, centrifuga, szárítógép és ezek bármely kombinációja, mosogatógép, vasaló, vízmelegítő, fűtő-, légkondicionáló- és egyéb légállapot-szabályozó berendezés, porszívó, gőzzel működő tisztítógép, szőnyegtisztító-gép, padlósúroló- és fényesítőgép, varrógép, kötőgép, villanybojler, szivattyú;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2. villamos energiával működtetett konyhai kisgépek 10 000 Ft eladási ár felett, így különösen mikrohullámú sütő, kenyérsütő, kenyérpirító, kávéfőző, kávéfőzőgép, vízforraló, konyhai robotgép, grillsütő, olajsütő, ostyasütő, fánksütő, </w:t>
      </w:r>
      <w:proofErr w:type="spellStart"/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gofrisütő</w:t>
      </w:r>
      <w:proofErr w:type="spellEnd"/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, szendvicssütő, elektromos palacsintasütő, elektromos pizzasütő, elektromos rotyogtatófazék, elektromos serpenyő, elektromos </w:t>
      </w:r>
      <w:proofErr w:type="spellStart"/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popcorn</w:t>
      </w:r>
      <w:proofErr w:type="spellEnd"/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készítő, elektromos </w:t>
      </w: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lastRenderedPageBreak/>
        <w:t>kontaktgrill, forgónyárs, mini tűzhely, rizsfőző készülék, tésztafőző, tojásfőző, ételpároló, légkeveréses főzőedény, gyümölcsaszaló;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3. gázkészülékek 10 000 Ft eladási ár felett, így különösen tűzhely, konvektor, gázkazán, gázbojler, gázgrill, gázzsámoly, gázsütő, gázperzselő, gázlámpa;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4. motoros kerti gépek és nem motoros kertészeti eszközök 10 000 Ft eladási ár felett, így különösen kapálógép, fűnyíró, fűkasza, </w:t>
      </w:r>
      <w:proofErr w:type="spellStart"/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tologatós</w:t>
      </w:r>
      <w:proofErr w:type="spellEnd"/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fűnyíró;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5. motoros kézi szerszámok 10 000 Ft eladási ár felett, így különösen láncfűrész, fúrógép, </w:t>
      </w:r>
      <w:proofErr w:type="spellStart"/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ütvefúrógép</w:t>
      </w:r>
      <w:proofErr w:type="spellEnd"/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, sarokköszörű, körfűrész, gyalu;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6. legalább egyéves kihordási idejű gyógyászati segédeszközök és készülékek, valamint napszemüvegek 10 000 Ft eladási ár felett;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7. egészségmegőrző termékek és eszközök 10 000 Ft eladási ár felett, így különösen elektromos masszírozó, mágneses termék, fényterápiás eszköz;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8. közlekedési eszközök 10 000 Ft eladási ár felett, így különösen kerékpár, elektromos kerékpár, elektromos roller, </w:t>
      </w:r>
      <w:proofErr w:type="spellStart"/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quad</w:t>
      </w:r>
      <w:proofErr w:type="spellEnd"/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, motorkerékpár, segédmotoros kerékpár, személygépkocsi, lakóautó, lakókocsi, utánfutós lakókocsi, utánfutó;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9. motoros vízi járművek 10 000 Ft eladási ár felett;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10. gyermekgondozási cikkek 10 000 Ft eladási ár felett, így különösen pelenkázó-, illetve mosdató-állvány, babakocsi, magas- és asztalra szerelhető etetőszék, biztonsági gyermekülés;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11. gyermekmegfigyelő berendezések 10 000 Ft eladási ár felett, így különösen légzésfigyelő, szívhangfigyelő, bébiőrző;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12. gyermekhinták, csúszdák és hasonló tevékenységet igénylő gyermekjátékok bel- és kültéri, otthoni használatra 10 000 Ft eladási ár felett;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13. világítástechnikai termékek 10 000 Ft eladási ár felett, így különösen lámpatest, fényforrás;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14. biztonsági riasztó- és jelzőberendezések 10 000 Ft eladási ár felett;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15. elektronikus hírközlő végberendezések 10 000 Ft eladási ár felett, így különösen telefon, mobiltelefon, telefax-készülék, több funkciós készülék;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16. híradástechnikai készülékek 10 000 Ft eladási ár felett, így különösen üzenetrögzítő, </w:t>
      </w:r>
      <w:proofErr w:type="spellStart"/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kihangosító</w:t>
      </w:r>
      <w:proofErr w:type="spellEnd"/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készülék; műholdvevő és AM Micro antenna rendszerek és ezek részegységei, televízió, projektor, videomagnó, rádió, autórádió, rádiós ébresztőóra, műholdas helymeghatározó, lemezjátszó, szalagos és kazettás magnó, CD-felvevő és lejátszó, DVD-felvevő és lejátszó, játékkonzol, Blu-ray lejátszó és -író, asztali </w:t>
      </w:r>
      <w:proofErr w:type="spellStart"/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médialejátszó</w:t>
      </w:r>
      <w:proofErr w:type="spellEnd"/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, egyéni hangrendszer, keverőasztal, erősítő, hangszóró, hangfal, mikrofon és fülhallgató, </w:t>
      </w:r>
      <w:proofErr w:type="spellStart"/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head-set</w:t>
      </w:r>
      <w:proofErr w:type="spellEnd"/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;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17. információtechnikai készülékek 10 000 Ft eladási ár felett, így különösen asztali számítógép, laptop, </w:t>
      </w:r>
      <w:proofErr w:type="spellStart"/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note-book</w:t>
      </w:r>
      <w:proofErr w:type="spellEnd"/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, tablet, PDA, monitor, nyomtató, szkenner, fényképezőgép, film- és hangfelvevő </w:t>
      </w: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lastRenderedPageBreak/>
        <w:t xml:space="preserve">kamera, videokamera és </w:t>
      </w:r>
      <w:proofErr w:type="spellStart"/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camcorder</w:t>
      </w:r>
      <w:proofErr w:type="spellEnd"/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, diktafon, fotónyomtató, film- és diaszkenner, MP3 és MP4 lejátszó, hordozható </w:t>
      </w:r>
      <w:proofErr w:type="spellStart"/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médialejátszó</w:t>
      </w:r>
      <w:proofErr w:type="spellEnd"/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, pendrive, memóriakártya, akkumulátor-töltő, számológép, zsebszámológép;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18. irodatechnikai berendezések 10 000 Ft eladási ár felett, így különösen iratmegsemmisítő, fénymásoló, laminálógép;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19. írásvetítők és filmtechnikai berendezések 10 000 Ft eladási ár felett, így különösen film- és írásvetítő, filmnagyító, filmelőhívó- és filmfeldolgozó készülék;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20. optikai eszközök 10 000 Ft eladási ár felett, így különösen távcső, látcső, mikroszkóp, teleszkóp;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21. hangszerek 10 000 Ft eladási ár felett;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22. órák és ékszerek 10 000 Ft eladási ár felett;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23. bel- és kültéri bútorok, fekvőmatracok 10 000 Ft eladási ár felett;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24. mérőműszerek, generátorok, tápegységek 10 000 Ft eladási ár felett;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25. lőfegyverek 10 000 Ft eladási ár felett;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26. sporteszközök, vadászathoz és horgászathoz kapcsolódó eszközök 10 000 Ft eladási ár felett;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27. villamos energiával működtetett szépségápolási eszközök 10 000 Ft eladási ár felett, így különösen hajszárító, hajformázó, testszőrnyíró gép, </w:t>
      </w:r>
      <w:proofErr w:type="spellStart"/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epillátor</w:t>
      </w:r>
      <w:proofErr w:type="spellEnd"/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, villanyborotva;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28. nemes és félnemes szőrmésbőrből készült szőrmeruházati termékek 50 000 Ft eladási ár felett;</w:t>
      </w:r>
    </w:p>
    <w:p w:rsidR="0057295A" w:rsidRPr="0057295A" w:rsidRDefault="0057295A" w:rsidP="005729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7295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29. az előzőekben felsorolt termékcsoportokhoz tartozó termékek tartozékai és alkotórészei 10 000 Ft eladási ár felett.</w:t>
      </w:r>
    </w:p>
    <w:p w:rsidR="00D5034C" w:rsidRPr="0057295A" w:rsidRDefault="00D5034C">
      <w:pPr>
        <w:rPr>
          <w:sz w:val="20"/>
          <w:szCs w:val="20"/>
        </w:rPr>
      </w:pPr>
    </w:p>
    <w:sectPr w:rsidR="00D5034C" w:rsidRPr="00572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5A"/>
    <w:rsid w:val="0057295A"/>
    <w:rsid w:val="00D5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293598"/>
  <w15:chartTrackingRefBased/>
  <w15:docId w15:val="{2BE885BB-594D-4435-933C-6D27B99D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72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572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7295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7295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72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2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0300151.kor" TargetMode="External"/><Relationship Id="rId13" Type="http://schemas.openxmlformats.org/officeDocument/2006/relationships/hyperlink" Target="https://net.jogtar.hu/jogszabaly?docid=a0300151.kor" TargetMode="External"/><Relationship Id="rId18" Type="http://schemas.openxmlformats.org/officeDocument/2006/relationships/hyperlink" Target="https://net.jogtar.hu/jogszabaly?docid=a0300151.ko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net.jogtar.hu/jogszabaly?docid=a0300151.kor" TargetMode="External"/><Relationship Id="rId12" Type="http://schemas.openxmlformats.org/officeDocument/2006/relationships/hyperlink" Target="https://net.jogtar.hu/jogszabaly?docid=a0300151.kor" TargetMode="External"/><Relationship Id="rId17" Type="http://schemas.openxmlformats.org/officeDocument/2006/relationships/hyperlink" Target="https://net.jogtar.hu/jogszabaly?docid=a0300151.ko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t.jogtar.hu/jogszabaly?docid=a0300151.kor" TargetMode="External"/><Relationship Id="rId20" Type="http://schemas.openxmlformats.org/officeDocument/2006/relationships/hyperlink" Target="https://net.jogtar.hu/jogszabaly?docid=a0300151.kor" TargetMode="Externa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0300151.kor" TargetMode="External"/><Relationship Id="rId11" Type="http://schemas.openxmlformats.org/officeDocument/2006/relationships/hyperlink" Target="https://net.jogtar.hu/jogszabaly?docid=a0300151.kor" TargetMode="External"/><Relationship Id="rId5" Type="http://schemas.openxmlformats.org/officeDocument/2006/relationships/hyperlink" Target="https://net.jogtar.hu/jogszabaly?docid=a0300151.kor" TargetMode="External"/><Relationship Id="rId15" Type="http://schemas.openxmlformats.org/officeDocument/2006/relationships/hyperlink" Target="https://net.jogtar.hu/jogszabaly?docid=a0300151.kor" TargetMode="External"/><Relationship Id="rId10" Type="http://schemas.openxmlformats.org/officeDocument/2006/relationships/hyperlink" Target="https://net.jogtar.hu/jogszabaly?docid=a0300151.kor" TargetMode="External"/><Relationship Id="rId19" Type="http://schemas.openxmlformats.org/officeDocument/2006/relationships/hyperlink" Target="https://net.jogtar.hu/jogszabaly?docid=a0300151.kor" TargetMode="External"/><Relationship Id="rId4" Type="http://schemas.openxmlformats.org/officeDocument/2006/relationships/hyperlink" Target="https://net.jogtar.hu/jogszabaly?docid=a0300151.kor" TargetMode="External"/><Relationship Id="rId9" Type="http://schemas.openxmlformats.org/officeDocument/2006/relationships/hyperlink" Target="https://net.jogtar.hu/jogszabaly?docid=a0300151.kor" TargetMode="External"/><Relationship Id="rId14" Type="http://schemas.openxmlformats.org/officeDocument/2006/relationships/hyperlink" Target="https://net.jogtar.hu/jogszabaly?docid=a0300151.ko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1648</Words>
  <Characters>11372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 Zoltán</dc:creator>
  <cp:keywords/>
  <dc:description/>
  <cp:lastModifiedBy>Kollár Zoltán</cp:lastModifiedBy>
  <cp:revision>1</cp:revision>
  <dcterms:created xsi:type="dcterms:W3CDTF">2018-08-09T12:56:00Z</dcterms:created>
  <dcterms:modified xsi:type="dcterms:W3CDTF">2018-08-09T12:59:00Z</dcterms:modified>
</cp:coreProperties>
</file>